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A5799" w14:textId="77777777" w:rsidR="005D5D29" w:rsidRPr="00EA7AF9" w:rsidRDefault="005D5D29" w:rsidP="005D5D29">
      <w:pPr>
        <w:jc w:val="center"/>
        <w:rPr>
          <w:b/>
          <w:sz w:val="24"/>
          <w:szCs w:val="24"/>
        </w:rPr>
      </w:pPr>
      <w:r w:rsidRPr="00EA7AF9">
        <w:rPr>
          <w:b/>
          <w:sz w:val="24"/>
          <w:szCs w:val="24"/>
        </w:rPr>
        <w:t xml:space="preserve">Jakob Friedrich Fries und die Grenzen der </w:t>
      </w:r>
      <w:r w:rsidRPr="00EA7AF9">
        <w:rPr>
          <w:b/>
          <w:sz w:val="24"/>
          <w:szCs w:val="24"/>
        </w:rPr>
        <w:br/>
        <w:t>Wah</w:t>
      </w:r>
      <w:r w:rsidRPr="00EA7AF9">
        <w:rPr>
          <w:b/>
          <w:sz w:val="24"/>
          <w:szCs w:val="24"/>
        </w:rPr>
        <w:t>r</w:t>
      </w:r>
      <w:r w:rsidRPr="00EA7AF9">
        <w:rPr>
          <w:b/>
          <w:sz w:val="24"/>
          <w:szCs w:val="24"/>
        </w:rPr>
        <w:t>scheinlichkeitsrechnung</w:t>
      </w:r>
      <w:r w:rsidRPr="00EA7AF9">
        <w:rPr>
          <w:b/>
          <w:sz w:val="24"/>
          <w:szCs w:val="24"/>
        </w:rPr>
        <w:br/>
      </w:r>
    </w:p>
    <w:p w14:paraId="5B3F6C4F" w14:textId="77777777" w:rsidR="005D5D29" w:rsidRDefault="005D5D29" w:rsidP="005D5D29">
      <w:pPr>
        <w:jc w:val="center"/>
      </w:pPr>
      <w:r>
        <w:t>Hans Fischer</w:t>
      </w:r>
    </w:p>
    <w:p w14:paraId="2B2B09D6" w14:textId="77777777" w:rsidR="005D5D29" w:rsidRPr="00561EEC" w:rsidRDefault="005D5D29" w:rsidP="005D5D29">
      <w:pPr>
        <w:jc w:val="center"/>
      </w:pPr>
    </w:p>
    <w:p w14:paraId="2D25293D" w14:textId="77777777" w:rsidR="005D5D29" w:rsidRPr="004563AC" w:rsidRDefault="005D5D29" w:rsidP="005D5D29">
      <w:pPr>
        <w:rPr>
          <w:b/>
          <w:szCs w:val="20"/>
        </w:rPr>
      </w:pPr>
      <w:r w:rsidRPr="004563AC">
        <w:rPr>
          <w:b/>
          <w:szCs w:val="20"/>
        </w:rPr>
        <w:t>Aspekte des mathematischen Wahrscheinlichkeitsb</w:t>
      </w:r>
      <w:r w:rsidRPr="004563AC">
        <w:rPr>
          <w:b/>
          <w:szCs w:val="20"/>
        </w:rPr>
        <w:t>e</w:t>
      </w:r>
      <w:r w:rsidRPr="004563AC">
        <w:rPr>
          <w:b/>
          <w:szCs w:val="20"/>
        </w:rPr>
        <w:t>griffs zu Beginn des 19. Jahrhunderts</w:t>
      </w:r>
    </w:p>
    <w:p w14:paraId="05ABE27B" w14:textId="77777777" w:rsidR="005D5D29" w:rsidRDefault="005D5D29" w:rsidP="005D5D29">
      <w:pPr>
        <w:spacing w:before="40"/>
      </w:pPr>
      <w:r w:rsidRPr="004563AC">
        <w:t xml:space="preserve">Wird heute der mathematische Wahrscheinlichkeitsbegriff vom philosophischen Standpunkt aus erörtert, so unterscheidet man üblicherweise zwischen subjektiven und objektiven Wahrscheinlichkeiten. Während sich subjektive Wahrscheinlichkeiten auf Schätzungen über den Ausgang eines Zufallsexperiments beziehen, die vom einzelnen Subjekt bei unvollständiger Kenntnislage über die jeweiligen Versuchsbedingungen vollzogen werden, können objektive Wahrscheinlichkeiten durch Symmetriebetrachtungen (z.B. beim idealen Würfel) — hier spricht man auch von „logischen“ Wahrscheinlichkeiten — oder durch Abzählung von Häufigkeiten in Zufallsexperimenten gewonnen werden. Oft bringt man objektive Wahrscheinlichkeiten automatisch mit einer rein </w:t>
      </w:r>
      <w:proofErr w:type="spellStart"/>
      <w:r w:rsidRPr="004563AC">
        <w:t>frequentistischen</w:t>
      </w:r>
      <w:proofErr w:type="spellEnd"/>
      <w:r w:rsidRPr="004563AC">
        <w:t xml:space="preserve"> Sinngebung zusammen: Von einer bestimmten Wahrscheinlichkeit zu sprechen hat nur einen Sinn, wenn damit eine relative Häufigkeit in einer größeren Anzahl identischer und unabhängiger Versuche gemeint ist. Die Information, </w:t>
      </w:r>
      <w:proofErr w:type="spellStart"/>
      <w:r w:rsidRPr="004563AC">
        <w:t>daß</w:t>
      </w:r>
      <w:proofErr w:type="spellEnd"/>
      <w:r w:rsidRPr="004563AC">
        <w:t xml:space="preserve"> die Wahrscheinlichkeit für die Zahl 6 beim Würfel 1/6 ist, bedeutet nach dieser Auffassung für einen einzelnen Wurf überhaupt nichts</w:t>
      </w:r>
      <w:r>
        <w:t>.</w:t>
      </w:r>
    </w:p>
    <w:p w14:paraId="2E1C2994" w14:textId="77777777" w:rsidR="005D5D29" w:rsidRPr="004563AC" w:rsidRDefault="005D5D29" w:rsidP="005D5D29">
      <w:r>
        <w:rPr>
          <w:lang w:eastAsia="de-DE"/>
        </w:rPr>
        <w:tab/>
      </w:r>
      <w:r w:rsidRPr="004563AC">
        <w:rPr>
          <w:lang w:eastAsia="de-DE"/>
        </w:rPr>
        <w:t>Eine strikte Trennung zwischen subjektiven und objektiven Wahrschei</w:t>
      </w:r>
      <w:r w:rsidRPr="004563AC">
        <w:rPr>
          <w:lang w:eastAsia="de-DE"/>
        </w:rPr>
        <w:t>n</w:t>
      </w:r>
      <w:r w:rsidRPr="004563AC">
        <w:rPr>
          <w:lang w:eastAsia="de-DE"/>
        </w:rPr>
        <w:t>lichkeiten ist erst ab ca. 1830 vorzufinden. Bis zu dieser Zeit, die von Da</w:t>
      </w:r>
      <w:r w:rsidRPr="004563AC">
        <w:rPr>
          <w:lang w:eastAsia="de-DE"/>
        </w:rPr>
        <w:t>s</w:t>
      </w:r>
      <w:r w:rsidRPr="004563AC">
        <w:rPr>
          <w:lang w:eastAsia="de-DE"/>
        </w:rPr>
        <w:t>ton [1988] als die der „klassischen Wahrscheinlichkeitsrechnung“ bezeic</w:t>
      </w:r>
      <w:r w:rsidRPr="004563AC">
        <w:rPr>
          <w:lang w:eastAsia="de-DE"/>
        </w:rPr>
        <w:t>h</w:t>
      </w:r>
      <w:r w:rsidRPr="004563AC">
        <w:rPr>
          <w:lang w:eastAsia="de-DE"/>
        </w:rPr>
        <w:t>net worden ist, war — jedenfalls bei der überwiegenden Anzahl der Fac</w:t>
      </w:r>
      <w:r w:rsidRPr="004563AC">
        <w:rPr>
          <w:lang w:eastAsia="de-DE"/>
        </w:rPr>
        <w:t>h</w:t>
      </w:r>
      <w:r w:rsidRPr="004563AC">
        <w:rPr>
          <w:lang w:eastAsia="de-DE"/>
        </w:rPr>
        <w:t xml:space="preserve">vertreter — ein fließender Übergang </w:t>
      </w:r>
      <w:r w:rsidRPr="004563AC">
        <w:t>zwischen subjektiven und obje</w:t>
      </w:r>
      <w:r w:rsidRPr="004563AC">
        <w:t>k</w:t>
      </w:r>
      <w:r w:rsidRPr="004563AC">
        <w:t xml:space="preserve">tiven Wahrscheinlichkeitsbetrachtungen vorherrschend. </w:t>
      </w:r>
      <w:r w:rsidRPr="004563AC">
        <w:rPr>
          <w:lang w:eastAsia="de-DE"/>
        </w:rPr>
        <w:t>Grundlage für diese Vereinigung der beiden Wahrscheinlic</w:t>
      </w:r>
      <w:r w:rsidRPr="004563AC">
        <w:rPr>
          <w:lang w:eastAsia="de-DE"/>
        </w:rPr>
        <w:t>h</w:t>
      </w:r>
      <w:r w:rsidRPr="004563AC">
        <w:rPr>
          <w:lang w:eastAsia="de-DE"/>
        </w:rPr>
        <w:t>keitskonzepte war die Theorie der auf John Locke und David Hume zurückgehenden Ideenassoziation. Erkenn</w:t>
      </w:r>
      <w:r w:rsidRPr="004563AC">
        <w:rPr>
          <w:lang w:eastAsia="de-DE"/>
        </w:rPr>
        <w:t>t</w:t>
      </w:r>
      <w:r w:rsidRPr="004563AC">
        <w:rPr>
          <w:lang w:eastAsia="de-DE"/>
        </w:rPr>
        <w:t>nisgewinn war nach dieser Lehre ein erfahrungsgemäßer, zumindest nicht direkt verstandesreflektierter Vorgang, der auf Wiederholungen gleicher Sinnesei</w:t>
      </w:r>
      <w:r w:rsidRPr="004563AC">
        <w:rPr>
          <w:lang w:eastAsia="de-DE"/>
        </w:rPr>
        <w:t>n</w:t>
      </w:r>
      <w:r w:rsidRPr="004563AC">
        <w:rPr>
          <w:lang w:eastAsia="de-DE"/>
        </w:rPr>
        <w:t xml:space="preserve">drücke beruhte. Allerdings war nur ein „gesunder Geist“ imstande, das Problem etwaiger Täuschungen und damit Verfälschungen bei der Erfassung </w:t>
      </w:r>
      <w:proofErr w:type="spellStart"/>
      <w:r w:rsidRPr="004563AC">
        <w:rPr>
          <w:lang w:eastAsia="de-DE"/>
        </w:rPr>
        <w:t>Erfassung</w:t>
      </w:r>
      <w:proofErr w:type="spellEnd"/>
      <w:r w:rsidRPr="004563AC">
        <w:rPr>
          <w:lang w:eastAsia="de-DE"/>
        </w:rPr>
        <w:t xml:space="preserve"> der Sinneseindrücke zu meistern. „Subjektive“ Wahrscheinlichke</w:t>
      </w:r>
      <w:r w:rsidRPr="004563AC">
        <w:rPr>
          <w:lang w:eastAsia="de-DE"/>
        </w:rPr>
        <w:t>i</w:t>
      </w:r>
      <w:r w:rsidRPr="004563AC">
        <w:rPr>
          <w:lang w:eastAsia="de-DE"/>
        </w:rPr>
        <w:t>ten einer „aufgeklärten“ Einzelperson waren demnach auch stets mit der Registrierung und Verarbeitung von sich wiederholenden Erfahrungen ve</w:t>
      </w:r>
      <w:r w:rsidRPr="004563AC">
        <w:rPr>
          <w:lang w:eastAsia="de-DE"/>
        </w:rPr>
        <w:t>r</w:t>
      </w:r>
      <w:r w:rsidRPr="004563AC">
        <w:rPr>
          <w:lang w:eastAsia="de-DE"/>
        </w:rPr>
        <w:t xml:space="preserve">knüpft. Die Wahrscheinlichkeitsrechnung, insbesondere das Jakob </w:t>
      </w:r>
      <w:proofErr w:type="spellStart"/>
      <w:r w:rsidRPr="004563AC">
        <w:rPr>
          <w:lang w:eastAsia="de-DE"/>
        </w:rPr>
        <w:t>Bernoullische</w:t>
      </w:r>
      <w:proofErr w:type="spellEnd"/>
      <w:r w:rsidRPr="004563AC">
        <w:rPr>
          <w:lang w:eastAsia="de-DE"/>
        </w:rPr>
        <w:t xml:space="preserve"> Gesetz der großen Zahlen über die stochastische Konvergenz der relativen Häufigkeiten eines Ereignisses gegen dessen </w:t>
      </w:r>
      <w:r w:rsidRPr="004563AC">
        <w:t>Wah</w:t>
      </w:r>
      <w:r w:rsidRPr="004563AC">
        <w:t>r</w:t>
      </w:r>
      <w:r w:rsidRPr="004563AC">
        <w:t>scheinlichkeit,</w:t>
      </w:r>
      <w:r w:rsidRPr="004563AC">
        <w:rPr>
          <w:lang w:eastAsia="de-DE"/>
        </w:rPr>
        <w:t xml:space="preserve"> Erfassung der Sinneseindrücke zu meistern. „Subjektive“ Wahrscheinlichkeiten einer „aufgeklärten“ Einzelperson waren demnach </w:t>
      </w:r>
      <w:r w:rsidRPr="004563AC">
        <w:rPr>
          <w:lang w:eastAsia="de-DE"/>
        </w:rPr>
        <w:lastRenderedPageBreak/>
        <w:t xml:space="preserve">auch stets mit der Registrierung und Verarbeitung von sich wiederholenden Erfahrungen verknüpft. Die Wahrscheinlichkeitsrechnung, insbesondere das Jakob </w:t>
      </w:r>
      <w:proofErr w:type="spellStart"/>
      <w:r w:rsidRPr="004563AC">
        <w:rPr>
          <w:lang w:eastAsia="de-DE"/>
        </w:rPr>
        <w:t>Bernoullische</w:t>
      </w:r>
      <w:proofErr w:type="spellEnd"/>
      <w:r w:rsidRPr="004563AC">
        <w:rPr>
          <w:lang w:eastAsia="de-DE"/>
        </w:rPr>
        <w:t xml:space="preserve"> Gesetz der großen Zahlen über die stochastische Ko</w:t>
      </w:r>
      <w:r w:rsidRPr="004563AC">
        <w:rPr>
          <w:lang w:eastAsia="de-DE"/>
        </w:rPr>
        <w:t>n</w:t>
      </w:r>
      <w:r w:rsidRPr="004563AC">
        <w:rPr>
          <w:lang w:eastAsia="de-DE"/>
        </w:rPr>
        <w:t>vergenz der relativen Häufigkeiten eines Ereignisses gegen dessen Wah</w:t>
      </w:r>
      <w:r w:rsidRPr="004563AC">
        <w:rPr>
          <w:lang w:eastAsia="de-DE"/>
        </w:rPr>
        <w:t>r</w:t>
      </w:r>
      <w:r w:rsidRPr="004563AC">
        <w:rPr>
          <w:lang w:eastAsia="de-DE"/>
        </w:rPr>
        <w:t>scheinlichkeit,</w:t>
      </w:r>
      <w:r w:rsidRPr="004563AC">
        <w:rPr>
          <w:vertAlign w:val="superscript"/>
          <w:lang w:eastAsia="de-DE"/>
        </w:rPr>
        <w:footnoteReference w:id="1"/>
      </w:r>
      <w:r w:rsidRPr="004563AC">
        <w:rPr>
          <w:lang w:eastAsia="de-DE"/>
        </w:rPr>
        <w:t xml:space="preserve"> lieferte in diesem Sinne ein mathematisches Modell für den psychologischen </w:t>
      </w:r>
      <w:proofErr w:type="spellStart"/>
      <w:r w:rsidRPr="004563AC">
        <w:rPr>
          <w:lang w:eastAsia="de-DE"/>
        </w:rPr>
        <w:t>Prozeß</w:t>
      </w:r>
      <w:proofErr w:type="spellEnd"/>
      <w:r w:rsidRPr="004563AC">
        <w:rPr>
          <w:lang w:eastAsia="de-DE"/>
        </w:rPr>
        <w:t xml:space="preserve"> rationalen Erkenntnisgewinns. Nicht zuletzt förde</w:t>
      </w:r>
      <w:r w:rsidRPr="004563AC">
        <w:rPr>
          <w:lang w:eastAsia="de-DE"/>
        </w:rPr>
        <w:t>r</w:t>
      </w:r>
      <w:r w:rsidRPr="004563AC">
        <w:rPr>
          <w:lang w:eastAsia="de-DE"/>
        </w:rPr>
        <w:t>ten die politischen Vorgänge nach der französischen Revolution ein wac</w:t>
      </w:r>
      <w:r w:rsidRPr="004563AC">
        <w:rPr>
          <w:lang w:eastAsia="de-DE"/>
        </w:rPr>
        <w:t>h</w:t>
      </w:r>
      <w:r w:rsidRPr="004563AC">
        <w:rPr>
          <w:lang w:eastAsia="de-DE"/>
        </w:rPr>
        <w:t xml:space="preserve">sendes </w:t>
      </w:r>
      <w:proofErr w:type="spellStart"/>
      <w:r w:rsidRPr="004563AC">
        <w:rPr>
          <w:lang w:eastAsia="de-DE"/>
        </w:rPr>
        <w:t>Mißtrauen</w:t>
      </w:r>
      <w:proofErr w:type="spellEnd"/>
      <w:r w:rsidRPr="004563AC">
        <w:rPr>
          <w:lang w:eastAsia="de-DE"/>
        </w:rPr>
        <w:t xml:space="preserve"> gegenüber den „natürlichen“ Standards der </w:t>
      </w:r>
      <w:proofErr w:type="spellStart"/>
      <w:r w:rsidRPr="004563AC">
        <w:rPr>
          <w:lang w:eastAsia="de-DE"/>
        </w:rPr>
        <w:t>Auklärung</w:t>
      </w:r>
      <w:proofErr w:type="spellEnd"/>
      <w:r w:rsidRPr="004563AC">
        <w:rPr>
          <w:lang w:eastAsia="de-DE"/>
        </w:rPr>
        <w:t xml:space="preserve"> und brachten ein allmähliches Auseinanderdriften der  —  unter Umständen permanenten Sinnestäuschungen unterliegenden  — „subjektiven“ Wahrscheinlichkeitsbestimmungen von Einzelpersonen und objektiven Wah</w:t>
      </w:r>
      <w:r w:rsidRPr="004563AC">
        <w:rPr>
          <w:lang w:eastAsia="de-DE"/>
        </w:rPr>
        <w:t>r</w:t>
      </w:r>
      <w:r w:rsidRPr="004563AC">
        <w:rPr>
          <w:lang w:eastAsia="de-DE"/>
        </w:rPr>
        <w:t>scheinlichkeiten.</w:t>
      </w:r>
      <w:r w:rsidRPr="004563AC">
        <w:rPr>
          <w:vertAlign w:val="superscript"/>
          <w:lang w:eastAsia="de-DE"/>
        </w:rPr>
        <w:footnoteReference w:id="2"/>
      </w:r>
      <w:r w:rsidRPr="004563AC">
        <w:rPr>
          <w:lang w:eastAsia="de-DE"/>
        </w:rPr>
        <w:t xml:space="preserve"> Einher mit dieser Entwicklung ging eine Abwertung der bislang für die Wahrscheinlichkeitsrechnung typischen Probleme menschl</w:t>
      </w:r>
      <w:r w:rsidRPr="004563AC">
        <w:rPr>
          <w:lang w:eastAsia="de-DE"/>
        </w:rPr>
        <w:t>i</w:t>
      </w:r>
      <w:r w:rsidRPr="004563AC">
        <w:rPr>
          <w:lang w:eastAsia="de-DE"/>
        </w:rPr>
        <w:t xml:space="preserve">cher Einzelentscheidungen. </w:t>
      </w:r>
    </w:p>
    <w:p w14:paraId="0973E2A5" w14:textId="77777777" w:rsidR="005D5D29" w:rsidRPr="004563AC" w:rsidRDefault="005D5D29" w:rsidP="005D5D29">
      <w:pPr>
        <w:rPr>
          <w:szCs w:val="20"/>
        </w:rPr>
      </w:pPr>
    </w:p>
    <w:p w14:paraId="3DCA792E" w14:textId="77777777" w:rsidR="005D5D29" w:rsidRPr="004563AC" w:rsidRDefault="005D5D29" w:rsidP="005D5D29">
      <w:pPr>
        <w:rPr>
          <w:szCs w:val="20"/>
        </w:rPr>
      </w:pPr>
      <w:r w:rsidRPr="004563AC">
        <w:rPr>
          <w:szCs w:val="20"/>
        </w:rPr>
        <w:tab/>
      </w:r>
    </w:p>
    <w:p w14:paraId="1B97BE1E" w14:textId="77777777" w:rsidR="005D5D29" w:rsidRPr="004563AC" w:rsidRDefault="005D5D29" w:rsidP="005D5D29">
      <w:pPr>
        <w:rPr>
          <w:szCs w:val="20"/>
        </w:rPr>
      </w:pPr>
      <w:r w:rsidRPr="004563AC">
        <w:rPr>
          <w:szCs w:val="20"/>
        </w:rPr>
        <w:tab/>
      </w:r>
    </w:p>
    <w:p w14:paraId="17DCB0F6" w14:textId="77777777" w:rsidR="00092F0C" w:rsidRDefault="00092F0C" w:rsidP="00E91D94"/>
    <w:p w14:paraId="17DCB0F7" w14:textId="77777777" w:rsidR="00A51FC8" w:rsidRDefault="00A51FC8" w:rsidP="00E91D94">
      <w:r>
        <w:tab/>
      </w:r>
    </w:p>
    <w:p w14:paraId="17DCB0F8" w14:textId="77777777" w:rsidR="00A51FC8" w:rsidRPr="00E91D94" w:rsidRDefault="00A51FC8" w:rsidP="00A51FC8">
      <w:pPr>
        <w:ind w:left="284" w:hanging="284"/>
      </w:pPr>
      <w:r>
        <w:tab/>
      </w:r>
    </w:p>
    <w:sectPr w:rsidR="00A51FC8" w:rsidRPr="00E91D94" w:rsidSect="001C4D4F">
      <w:pgSz w:w="8391" w:h="11907" w:code="11"/>
      <w:pgMar w:top="1077" w:right="1134" w:bottom="652"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3C28C" w14:textId="77777777" w:rsidR="00532DDA" w:rsidRDefault="00532DDA" w:rsidP="00211097">
      <w:r>
        <w:separator/>
      </w:r>
    </w:p>
  </w:endnote>
  <w:endnote w:type="continuationSeparator" w:id="0">
    <w:p w14:paraId="25C47D5A" w14:textId="77777777" w:rsidR="00532DDA" w:rsidRDefault="00532DDA" w:rsidP="00211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ADF7D" w14:textId="77777777" w:rsidR="00532DDA" w:rsidRDefault="00532DDA" w:rsidP="00211097">
      <w:r>
        <w:separator/>
      </w:r>
    </w:p>
  </w:footnote>
  <w:footnote w:type="continuationSeparator" w:id="0">
    <w:p w14:paraId="099DAB37" w14:textId="77777777" w:rsidR="00532DDA" w:rsidRDefault="00532DDA" w:rsidP="00211097">
      <w:r>
        <w:continuationSeparator/>
      </w:r>
    </w:p>
  </w:footnote>
  <w:footnote w:id="1">
    <w:p w14:paraId="276547A9" w14:textId="77777777" w:rsidR="005D5D29" w:rsidRPr="00960D2C" w:rsidRDefault="005D5D29" w:rsidP="005D5D29">
      <w:pPr>
        <w:rPr>
          <w:rStyle w:val="MatheFunoteZchn"/>
          <w:szCs w:val="16"/>
        </w:rPr>
      </w:pPr>
      <w:r w:rsidRPr="00DB3CCE">
        <w:rPr>
          <w:rStyle w:val="Funotenzeichen"/>
          <w:sz w:val="16"/>
          <w:szCs w:val="16"/>
        </w:rPr>
        <w:footnoteRef/>
      </w:r>
      <w:r>
        <w:t xml:space="preserve"> </w:t>
      </w:r>
      <w:r w:rsidRPr="00960D2C">
        <w:rPr>
          <w:rStyle w:val="MatheFunoteZchn"/>
          <w:szCs w:val="16"/>
        </w:rPr>
        <w:t xml:space="preserve">Genauer: Ist p die Wahrscheinlichkeit für ein </w:t>
      </w:r>
      <w:proofErr w:type="gramStart"/>
      <w:r w:rsidRPr="00960D2C">
        <w:rPr>
          <w:rStyle w:val="MatheFunoteZchn"/>
          <w:szCs w:val="16"/>
        </w:rPr>
        <w:t>bestimmtes  Ereignis</w:t>
      </w:r>
      <w:proofErr w:type="gramEnd"/>
      <w:r w:rsidRPr="00960D2C">
        <w:rPr>
          <w:rStyle w:val="MatheFunoteZchn"/>
          <w:szCs w:val="16"/>
        </w:rPr>
        <w:t xml:space="preserve"> und </w:t>
      </w:r>
      <w:proofErr w:type="spellStart"/>
      <w:r w:rsidRPr="00960D2C">
        <w:rPr>
          <w:rStyle w:val="MatheFunoteZchn"/>
          <w:szCs w:val="16"/>
        </w:rPr>
        <w:t>h</w:t>
      </w:r>
      <w:r w:rsidRPr="00200C8C">
        <w:rPr>
          <w:rStyle w:val="MatheFunoteZchn"/>
          <w:szCs w:val="20"/>
          <w:vertAlign w:val="subscript"/>
        </w:rPr>
        <w:t>n</w:t>
      </w:r>
      <w:proofErr w:type="spellEnd"/>
      <w:r w:rsidRPr="00960D2C">
        <w:rPr>
          <w:rStyle w:val="MatheFunoteZchn"/>
          <w:szCs w:val="16"/>
        </w:rPr>
        <w:t xml:space="preserve"> die relative Hä</w:t>
      </w:r>
      <w:r w:rsidRPr="00960D2C">
        <w:rPr>
          <w:rStyle w:val="MatheFunoteZchn"/>
          <w:szCs w:val="16"/>
        </w:rPr>
        <w:t>u</w:t>
      </w:r>
      <w:r w:rsidRPr="00960D2C">
        <w:rPr>
          <w:rStyle w:val="MatheFunoteZchn"/>
          <w:szCs w:val="16"/>
        </w:rPr>
        <w:t>figkeit …..</w:t>
      </w:r>
    </w:p>
  </w:footnote>
  <w:footnote w:id="2">
    <w:p w14:paraId="737AF229" w14:textId="77777777" w:rsidR="005D5D29" w:rsidRPr="00960D2C" w:rsidRDefault="005D5D29" w:rsidP="005D5D29">
      <w:pPr>
        <w:rPr>
          <w:sz w:val="16"/>
          <w:szCs w:val="16"/>
        </w:rPr>
      </w:pPr>
      <w:r w:rsidRPr="00960D2C">
        <w:rPr>
          <w:rStyle w:val="Funotenzeichen"/>
          <w:sz w:val="16"/>
          <w:szCs w:val="16"/>
        </w:rPr>
        <w:footnoteRef/>
      </w:r>
      <w:r w:rsidRPr="00960D2C">
        <w:rPr>
          <w:sz w:val="16"/>
          <w:szCs w:val="16"/>
        </w:rPr>
        <w:t xml:space="preserve"> </w:t>
      </w:r>
      <w:r w:rsidRPr="00960D2C">
        <w:rPr>
          <w:rStyle w:val="MatheFunoteZchn"/>
          <w:szCs w:val="16"/>
        </w:rPr>
        <w:t xml:space="preserve">Für eine genaue Erörterung siehe [Daston 1988, </w:t>
      </w:r>
      <w:proofErr w:type="spellStart"/>
      <w:r w:rsidRPr="00960D2C">
        <w:rPr>
          <w:rStyle w:val="MatheFunoteZchn"/>
          <w:szCs w:val="16"/>
        </w:rPr>
        <w:t>chap</w:t>
      </w:r>
      <w:proofErr w:type="spellEnd"/>
      <w:r w:rsidRPr="00960D2C">
        <w:rPr>
          <w:rStyle w:val="MatheFunoteZchn"/>
          <w:szCs w:val="16"/>
        </w:rPr>
        <w:t>. 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2933"/>
    <w:rsid w:val="00063E79"/>
    <w:rsid w:val="00091F4D"/>
    <w:rsid w:val="00092F0C"/>
    <w:rsid w:val="001B2933"/>
    <w:rsid w:val="001C4D4F"/>
    <w:rsid w:val="00211097"/>
    <w:rsid w:val="00261BA9"/>
    <w:rsid w:val="00397008"/>
    <w:rsid w:val="003F6E05"/>
    <w:rsid w:val="0044175C"/>
    <w:rsid w:val="004612FE"/>
    <w:rsid w:val="00532DDA"/>
    <w:rsid w:val="005D5D29"/>
    <w:rsid w:val="006B0C3C"/>
    <w:rsid w:val="00A51FC8"/>
    <w:rsid w:val="00B65EBA"/>
    <w:rsid w:val="00DE0CBB"/>
    <w:rsid w:val="00E91D94"/>
    <w:rsid w:val="00E937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CB0F6"/>
  <w15:docId w15:val="{AE38A979-C4AF-44C9-947E-7B6978ED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92F0C"/>
    <w:pPr>
      <w:tabs>
        <w:tab w:val="left" w:pos="284"/>
      </w:tabs>
    </w:pPr>
    <w:rPr>
      <w:rFonts w:ascii="Times New Roman" w:hAnsi="Times New Roman"/>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1097"/>
    <w:pPr>
      <w:tabs>
        <w:tab w:val="center" w:pos="4536"/>
        <w:tab w:val="right" w:pos="9072"/>
      </w:tabs>
    </w:pPr>
  </w:style>
  <w:style w:type="character" w:customStyle="1" w:styleId="KopfzeileZchn">
    <w:name w:val="Kopfzeile Zchn"/>
    <w:link w:val="Kopfzeile"/>
    <w:uiPriority w:val="99"/>
    <w:rsid w:val="00211097"/>
    <w:rPr>
      <w:rFonts w:ascii="Times New Roman" w:hAnsi="Times New Roman"/>
      <w:sz w:val="20"/>
    </w:rPr>
  </w:style>
  <w:style w:type="paragraph" w:styleId="Fuzeile">
    <w:name w:val="footer"/>
    <w:basedOn w:val="Standard"/>
    <w:link w:val="FuzeileZchn"/>
    <w:uiPriority w:val="99"/>
    <w:unhideWhenUsed/>
    <w:rsid w:val="00211097"/>
    <w:pPr>
      <w:tabs>
        <w:tab w:val="center" w:pos="4536"/>
        <w:tab w:val="right" w:pos="9072"/>
      </w:tabs>
    </w:pPr>
  </w:style>
  <w:style w:type="character" w:customStyle="1" w:styleId="FuzeileZchn">
    <w:name w:val="Fußzeile Zchn"/>
    <w:link w:val="Fuzeile"/>
    <w:uiPriority w:val="99"/>
    <w:rsid w:val="00211097"/>
    <w:rPr>
      <w:rFonts w:ascii="Times New Roman" w:hAnsi="Times New Roman"/>
      <w:sz w:val="20"/>
    </w:rPr>
  </w:style>
  <w:style w:type="character" w:styleId="Funotenzeichen">
    <w:name w:val="footnote reference"/>
    <w:uiPriority w:val="99"/>
    <w:semiHidden/>
    <w:unhideWhenUsed/>
    <w:rsid w:val="005D5D29"/>
    <w:rPr>
      <w:vertAlign w:val="superscript"/>
    </w:rPr>
  </w:style>
  <w:style w:type="paragraph" w:customStyle="1" w:styleId="MatheFunote">
    <w:name w:val="MatheFußnote"/>
    <w:basedOn w:val="Funotentext"/>
    <w:link w:val="MatheFunoteZchn"/>
    <w:rsid w:val="005D5D29"/>
    <w:pPr>
      <w:tabs>
        <w:tab w:val="clear" w:pos="284"/>
      </w:tabs>
    </w:pPr>
    <w:rPr>
      <w:sz w:val="16"/>
    </w:rPr>
  </w:style>
  <w:style w:type="character" w:customStyle="1" w:styleId="MatheFunoteZchn">
    <w:name w:val="MatheFußnote Zchn"/>
    <w:link w:val="MatheFunote"/>
    <w:rsid w:val="005D5D29"/>
    <w:rPr>
      <w:rFonts w:ascii="Times New Roman" w:hAnsi="Times New Roman"/>
      <w:sz w:val="16"/>
      <w:lang w:eastAsia="en-US"/>
    </w:rPr>
  </w:style>
  <w:style w:type="paragraph" w:styleId="Funotentext">
    <w:name w:val="footnote text"/>
    <w:basedOn w:val="Standard"/>
    <w:link w:val="FunotentextZchn"/>
    <w:uiPriority w:val="99"/>
    <w:semiHidden/>
    <w:unhideWhenUsed/>
    <w:rsid w:val="005D5D29"/>
    <w:rPr>
      <w:szCs w:val="20"/>
    </w:rPr>
  </w:style>
  <w:style w:type="character" w:customStyle="1" w:styleId="FunotentextZchn">
    <w:name w:val="Fußnotentext Zchn"/>
    <w:basedOn w:val="Absatz-Standardschriftart"/>
    <w:link w:val="Funotentext"/>
    <w:uiPriority w:val="99"/>
    <w:semiHidden/>
    <w:rsid w:val="005D5D29"/>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5A791-89B8-42E3-AE5C-A445572B2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3161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mga054</dc:creator>
  <cp:lastModifiedBy>Thomas Krohn</cp:lastModifiedBy>
  <cp:revision>4</cp:revision>
  <cp:lastPrinted>2011-07-20T17:47:00Z</cp:lastPrinted>
  <dcterms:created xsi:type="dcterms:W3CDTF">2019-07-14T18:41:00Z</dcterms:created>
  <dcterms:modified xsi:type="dcterms:W3CDTF">2023-03-23T14:17:00Z</dcterms:modified>
</cp:coreProperties>
</file>